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803" w:firstLineChars="200"/>
        <w:jc w:val="center"/>
        <w:rPr>
          <w:rFonts w:ascii="宋体"/>
        </w:rPr>
      </w:pPr>
      <w:bookmarkStart w:id="0" w:name="_GoBack"/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bookmarkEnd w:id="0"/>
    <w:p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3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简介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 w:cs="宋体"/>
        </w:rPr>
        <w:t>说明：本表一式两份，存入档案、乙方留存各一份。</w:t>
      </w:r>
      <w:r>
        <w:rPr>
          <w:rFonts w:ascii="宋体" w:hAnsi="宋体" w:cs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IzZmQ1YWEzNGQyOTNlMmI3NTY2ZDgyMDc5YzgifQ=="/>
  </w:docVars>
  <w:rsids>
    <w:rsidRoot w:val="00000000"/>
    <w:rsid w:val="06173F89"/>
    <w:rsid w:val="483D0F2D"/>
    <w:rsid w:val="719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autoRedefine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2021-02-08T07:42:00Z</dcterms:created>
  <dc:creator>Administrator</dc:creator>
  <cp:lastModifiedBy>Administrator</cp:lastModifiedBy>
  <cp:lastPrinted>2023-04-28T01:17:00Z</cp:lastPrinted>
  <dcterms:modified xsi:type="dcterms:W3CDTF">2023-12-26T02:33:56Z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B27428CB18F34CECB9E9C513B1A485B3_13</vt:lpwstr>
  </property>
</Properties>
</file>