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pacing w:val="20"/>
          <w:sz w:val="24"/>
          <w:szCs w:val="2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  <w:lang w:eastAsia="zh-CN"/>
        </w:rPr>
        <w:t>台州市司法局</w:t>
      </w:r>
      <w:r>
        <w:rPr>
          <w:rFonts w:hint="eastAsia" w:ascii="方正小标宋简体" w:hAnsi="宋体" w:eastAsia="方正小标宋简体"/>
          <w:spacing w:val="20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173"/>
        <w:gridCol w:w="837"/>
        <w:gridCol w:w="437"/>
        <w:gridCol w:w="1050"/>
        <w:gridCol w:w="523"/>
        <w:gridCol w:w="930"/>
        <w:gridCol w:w="1080"/>
        <w:gridCol w:w="26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是否取得法律职业资格证书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043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（按时间顺序详细填写高中阶段以上的全日制及在职教育经历情况，工作单位名称、担任职务等工作经历情况。）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04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成员情况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4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ED7F"/>
    <w:rsid w:val="7DCBE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2025-02-25T09:21:00Z</dcterms:created>
  <dc:creator>tzfx</dc:creator>
  <cp:lastModifiedBy>tzfx</cp:lastModifiedBy>
  <dcterms:modified xsi:type="dcterms:W3CDTF">2025-02-25T09:23:40Z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7CD109AE89532B242A1BBD6734713ED1</vt:lpwstr>
  </property>
</Properties>
</file>